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AE99" w14:textId="77777777" w:rsidR="00BA118E" w:rsidRDefault="00000000">
      <w:pPr>
        <w:pStyle w:val="NormaleWeb"/>
        <w:jc w:val="center"/>
        <w:rPr>
          <w:rFonts w:ascii="Calibri" w:hAnsi="Calibri" w:cs="Calibri"/>
        </w:rPr>
      </w:pPr>
      <w:r>
        <w:rPr>
          <w:rStyle w:val="Enfasigrassetto"/>
          <w:rFonts w:ascii="Calibri" w:eastAsiaTheme="majorEastAsia" w:hAnsi="Calibri" w:cs="Calibri"/>
        </w:rPr>
        <w:t>COMUNICATO STAMPA</w:t>
      </w:r>
    </w:p>
    <w:p w14:paraId="526A152C" w14:textId="77777777" w:rsidR="00BA118E" w:rsidRDefault="00000000">
      <w:pPr>
        <w:pStyle w:val="NormaleWeb"/>
        <w:spacing w:before="0" w:beforeAutospacing="0" w:after="0" w:afterAutospacing="0"/>
        <w:jc w:val="center"/>
        <w:rPr>
          <w:rStyle w:val="Enfasigrassetto"/>
          <w:rFonts w:ascii="Calibri" w:eastAsiaTheme="majorEastAsia" w:hAnsi="Calibri" w:cs="Calibri"/>
          <w:sz w:val="28"/>
          <w:szCs w:val="28"/>
        </w:rPr>
      </w:pPr>
      <w:r>
        <w:rPr>
          <w:rStyle w:val="Enfasigrassetto"/>
          <w:rFonts w:ascii="Calibri" w:eastAsiaTheme="majorEastAsia" w:hAnsi="Calibri" w:cs="Calibri"/>
          <w:sz w:val="28"/>
          <w:szCs w:val="28"/>
        </w:rPr>
        <w:t xml:space="preserve">“Semi di futuro”: il XVI Rapporto Civita indaga il benessere giovanile </w:t>
      </w:r>
    </w:p>
    <w:p w14:paraId="4ABB20E9" w14:textId="77777777" w:rsidR="00BA118E" w:rsidRDefault="00000000">
      <w:pPr>
        <w:pStyle w:val="NormaleWeb"/>
        <w:spacing w:before="0" w:beforeAutospacing="0" w:after="0" w:afterAutospacing="0"/>
        <w:jc w:val="center"/>
        <w:rPr>
          <w:rFonts w:ascii="Calibri" w:hAnsi="Calibri" w:cs="Calibri"/>
          <w:sz w:val="28"/>
          <w:szCs w:val="28"/>
        </w:rPr>
      </w:pPr>
      <w:r>
        <w:rPr>
          <w:rStyle w:val="Enfasigrassetto"/>
          <w:rFonts w:ascii="Calibri" w:eastAsiaTheme="majorEastAsia" w:hAnsi="Calibri" w:cs="Calibri"/>
          <w:sz w:val="28"/>
          <w:szCs w:val="28"/>
        </w:rPr>
        <w:t>tra Cultura, Creatività e Relazioni</w:t>
      </w:r>
    </w:p>
    <w:p w14:paraId="475EF7C7" w14:textId="77777777" w:rsidR="00D452F4" w:rsidRDefault="00D452F4">
      <w:pPr>
        <w:pStyle w:val="NormaleWeb"/>
        <w:jc w:val="both"/>
        <w:rPr>
          <w:rFonts w:ascii="Calibri" w:hAnsi="Calibri" w:cs="Calibri"/>
          <w:highlight w:val="yellow"/>
        </w:rPr>
      </w:pPr>
    </w:p>
    <w:p w14:paraId="07EA6204" w14:textId="28DA6669" w:rsidR="00BA118E" w:rsidRDefault="00000000">
      <w:pPr>
        <w:pStyle w:val="NormaleWeb"/>
        <w:jc w:val="both"/>
        <w:rPr>
          <w:rFonts w:ascii="Calibri" w:hAnsi="Calibri" w:cs="Calibri"/>
        </w:rPr>
      </w:pPr>
      <w:r w:rsidRPr="00D452F4">
        <w:rPr>
          <w:rFonts w:ascii="Calibri" w:hAnsi="Calibri" w:cs="Calibri"/>
          <w:u w:val="single"/>
        </w:rPr>
        <w:t xml:space="preserve">Roma, </w:t>
      </w:r>
      <w:r w:rsidR="00D452F4" w:rsidRPr="00D452F4">
        <w:rPr>
          <w:rFonts w:ascii="Calibri" w:hAnsi="Calibri" w:cs="Calibri"/>
          <w:u w:val="single"/>
        </w:rPr>
        <w:t>17</w:t>
      </w:r>
      <w:r w:rsidRPr="00D452F4">
        <w:rPr>
          <w:rFonts w:ascii="Calibri" w:hAnsi="Calibri" w:cs="Calibri"/>
          <w:u w:val="single"/>
        </w:rPr>
        <w:t xml:space="preserve"> novembre 2025</w:t>
      </w:r>
      <w:r>
        <w:rPr>
          <w:rFonts w:ascii="Calibri" w:hAnsi="Calibri" w:cs="Calibri"/>
        </w:rPr>
        <w:t xml:space="preserve"> – È stata presentata la XVI edizione del Rapporto Civita </w:t>
      </w:r>
      <w:r>
        <w:rPr>
          <w:rStyle w:val="Enfasicorsivo"/>
          <w:rFonts w:ascii="Calibri" w:eastAsiaTheme="majorEastAsia" w:hAnsi="Calibri" w:cs="Calibri"/>
        </w:rPr>
        <w:t>“Semi di futuro. Giovani, cultura e benessere”</w:t>
      </w:r>
      <w:r>
        <w:rPr>
          <w:rFonts w:ascii="Calibri" w:hAnsi="Calibri" w:cs="Calibri"/>
        </w:rPr>
        <w:t xml:space="preserve">, realizzato dall’Associazione Civita con il supporto scientifico di SWG. La ricerca ha coinvolto un campione di 1.500 giovani italiani tra i 16 e i 24 anni, utilizzando </w:t>
      </w:r>
      <w:r>
        <w:rPr>
          <w:rFonts w:ascii="Calibri" w:hAnsi="Calibri" w:cs="Calibri"/>
          <w:i/>
          <w:iCs/>
        </w:rPr>
        <w:t xml:space="preserve">l’Oxford </w:t>
      </w:r>
      <w:proofErr w:type="spellStart"/>
      <w:r>
        <w:rPr>
          <w:rFonts w:ascii="Calibri" w:hAnsi="Calibri" w:cs="Calibri"/>
          <w:i/>
          <w:iCs/>
        </w:rPr>
        <w:t>Happiness</w:t>
      </w:r>
      <w:proofErr w:type="spellEnd"/>
      <w:r>
        <w:rPr>
          <w:rFonts w:ascii="Calibri" w:hAnsi="Calibri" w:cs="Calibri"/>
          <w:i/>
          <w:iCs/>
        </w:rPr>
        <w:t xml:space="preserve"> </w:t>
      </w:r>
      <w:proofErr w:type="spellStart"/>
      <w:r>
        <w:rPr>
          <w:rFonts w:ascii="Calibri" w:hAnsi="Calibri" w:cs="Calibri"/>
          <w:i/>
          <w:iCs/>
        </w:rPr>
        <w:t>Questionnaire</w:t>
      </w:r>
      <w:proofErr w:type="spellEnd"/>
      <w:r>
        <w:rPr>
          <w:rFonts w:ascii="Calibri" w:hAnsi="Calibri" w:cs="Calibri"/>
        </w:rPr>
        <w:t xml:space="preserve"> (OHQ) integrato da specifici indici tematici per valutare il benessere emotivo in relazione alla partecipazione culturale, sportiva, formativa, lavorativa e civica. </w:t>
      </w:r>
    </w:p>
    <w:p w14:paraId="45BEDEFD" w14:textId="77777777" w:rsidR="00BA118E" w:rsidRDefault="00000000">
      <w:pPr>
        <w:pStyle w:val="NormaleWeb"/>
        <w:spacing w:before="0" w:beforeAutospacing="0" w:after="0" w:afterAutospacing="0"/>
        <w:jc w:val="both"/>
        <w:rPr>
          <w:rFonts w:ascii="Calibri" w:hAnsi="Calibri" w:cs="Calibri"/>
        </w:rPr>
      </w:pPr>
      <w:r>
        <w:rPr>
          <w:rFonts w:ascii="Calibri" w:hAnsi="Calibri" w:cs="Calibri"/>
          <w:i/>
          <w:iCs/>
        </w:rPr>
        <w:t>“Dal Rapporto emerge chiaramente</w:t>
      </w:r>
      <w:r>
        <w:rPr>
          <w:rFonts w:ascii="Calibri" w:hAnsi="Calibri" w:cs="Calibri"/>
        </w:rPr>
        <w:t xml:space="preserve"> - </w:t>
      </w:r>
      <w:r>
        <w:rPr>
          <w:rFonts w:ascii="Calibri" w:hAnsi="Calibri" w:cs="Calibri"/>
          <w:b/>
          <w:bCs/>
        </w:rPr>
        <w:t>ha dichiarato il Segretario Generale dell’Associazione Civita, Simonetta Giordani</w:t>
      </w:r>
      <w:r>
        <w:rPr>
          <w:rFonts w:ascii="Calibri" w:hAnsi="Calibri" w:cs="Calibri"/>
        </w:rPr>
        <w:t xml:space="preserve"> – </w:t>
      </w:r>
      <w:r>
        <w:rPr>
          <w:rFonts w:ascii="Calibri" w:hAnsi="Calibri" w:cs="Calibri"/>
          <w:i/>
          <w:iCs/>
        </w:rPr>
        <w:t>come i giovani abbiano bisogno di esperienze concrete, relazioni significative e un dialogo autentico con gli adulti per sentirsi ascoltati, coinvolti e valorizzati</w:t>
      </w:r>
      <w:r>
        <w:rPr>
          <w:rFonts w:ascii="Calibri" w:hAnsi="Calibri" w:cs="Calibri"/>
        </w:rPr>
        <w:t>.</w:t>
      </w:r>
    </w:p>
    <w:p w14:paraId="467D57D7" w14:textId="77777777" w:rsidR="00BA118E" w:rsidRDefault="00000000">
      <w:pPr>
        <w:pStyle w:val="NormaleWeb"/>
        <w:spacing w:before="0" w:beforeAutospacing="0" w:after="0" w:afterAutospacing="0"/>
        <w:jc w:val="both"/>
        <w:rPr>
          <w:rFonts w:ascii="Calibri" w:hAnsi="Calibri" w:cs="Calibri"/>
          <w:i/>
          <w:iCs/>
        </w:rPr>
      </w:pPr>
      <w:r>
        <w:rPr>
          <w:rFonts w:ascii="Calibri" w:hAnsi="Calibri" w:cs="Calibri"/>
          <w:i/>
          <w:iCs/>
        </w:rPr>
        <w:t xml:space="preserve">Promuovere il loro benessere emotivo significa accompagnarli nella partecipazione attiva e consapevole alla vita sociale, offrendo loro sostegno, orientamento e spazi dove possano offrire un contributo in tal senso. </w:t>
      </w:r>
    </w:p>
    <w:p w14:paraId="519FBB54" w14:textId="4E928F70" w:rsidR="00BA118E" w:rsidRDefault="00000000">
      <w:pPr>
        <w:pStyle w:val="NormaleWeb"/>
        <w:spacing w:before="0" w:beforeAutospacing="0" w:after="0" w:afterAutospacing="0"/>
        <w:jc w:val="both"/>
        <w:rPr>
          <w:rFonts w:ascii="Calibri" w:hAnsi="Calibri" w:cs="Calibri"/>
        </w:rPr>
      </w:pPr>
      <w:r>
        <w:rPr>
          <w:rFonts w:ascii="Calibri" w:hAnsi="Calibri" w:cs="Calibri"/>
          <w:i/>
          <w:iCs/>
        </w:rPr>
        <w:t xml:space="preserve">Sta a noi adulti creare queste opportunità, mettendo a </w:t>
      </w:r>
      <w:r w:rsidR="00D452F4">
        <w:rPr>
          <w:rFonts w:ascii="Calibri" w:hAnsi="Calibri" w:cs="Calibri"/>
          <w:i/>
          <w:iCs/>
        </w:rPr>
        <w:t>disposizione,</w:t>
      </w:r>
      <w:r>
        <w:rPr>
          <w:rFonts w:ascii="Calibri" w:hAnsi="Calibri" w:cs="Calibri"/>
          <w:i/>
          <w:iCs/>
        </w:rPr>
        <w:t xml:space="preserve"> come emerge dall’ultima edizione del Rapporto, strumenti, tempo e attenzione. Solo favorendo una collaborazione reale tra generazioni possiamo permettere a ragazze e ragazzi di esprimere pienamente il loro potenziale”</w:t>
      </w:r>
      <w:r>
        <w:rPr>
          <w:rFonts w:ascii="Calibri" w:hAnsi="Calibri" w:cs="Calibri"/>
        </w:rPr>
        <w:t>.</w:t>
      </w:r>
    </w:p>
    <w:p w14:paraId="77E278C1" w14:textId="77777777" w:rsidR="00BA118E" w:rsidRDefault="00000000">
      <w:pPr>
        <w:pStyle w:val="NormaleWeb"/>
        <w:jc w:val="both"/>
        <w:rPr>
          <w:rFonts w:ascii="Calibri" w:hAnsi="Calibri" w:cs="Calibri"/>
        </w:rPr>
      </w:pPr>
      <w:r>
        <w:rPr>
          <w:rFonts w:ascii="Calibri" w:hAnsi="Calibri" w:cs="Calibri"/>
        </w:rPr>
        <w:t xml:space="preserve">Di seguito gli spunti principali contenuti nel XVI° Rapporto Civita </w:t>
      </w:r>
      <w:r>
        <w:rPr>
          <w:rStyle w:val="Enfasicorsivo"/>
          <w:rFonts w:ascii="Calibri" w:eastAsiaTheme="majorEastAsia" w:hAnsi="Calibri" w:cs="Calibri"/>
        </w:rPr>
        <w:t>“Semi di futuro. Giovani, cultura e benessere”</w:t>
      </w:r>
      <w:r>
        <w:rPr>
          <w:rStyle w:val="Enfasicorsivo"/>
          <w:rFonts w:ascii="Calibri" w:eastAsiaTheme="majorEastAsia" w:hAnsi="Calibri" w:cs="Calibri"/>
          <w:i w:val="0"/>
          <w:iCs w:val="0"/>
        </w:rPr>
        <w:t>.</w:t>
      </w:r>
    </w:p>
    <w:p w14:paraId="463F6BE4" w14:textId="77777777" w:rsidR="00BA118E" w:rsidRDefault="00000000">
      <w:pPr>
        <w:pStyle w:val="NormaleWeb"/>
        <w:spacing w:before="0" w:beforeAutospacing="0" w:after="0" w:afterAutospacing="0"/>
        <w:jc w:val="both"/>
        <w:rPr>
          <w:rFonts w:ascii="Calibri" w:hAnsi="Calibri" w:cs="Calibri"/>
        </w:rPr>
      </w:pPr>
      <w:r>
        <w:rPr>
          <w:rStyle w:val="Enfasigrassetto"/>
          <w:rFonts w:ascii="Calibri" w:eastAsiaTheme="majorEastAsia" w:hAnsi="Calibri" w:cs="Calibri"/>
        </w:rPr>
        <w:t>Non è quanto fanno, ma come lo vivono: il benessere parte dall’engagement</w:t>
      </w:r>
    </w:p>
    <w:p w14:paraId="0A1AD356" w14:textId="77777777" w:rsidR="00BA118E" w:rsidRDefault="00000000">
      <w:pPr>
        <w:pStyle w:val="NormaleWeb"/>
        <w:spacing w:before="0" w:beforeAutospacing="0" w:after="0" w:afterAutospacing="0"/>
        <w:jc w:val="both"/>
        <w:rPr>
          <w:rFonts w:ascii="Calibri" w:hAnsi="Calibri" w:cs="Calibri"/>
        </w:rPr>
      </w:pPr>
      <w:r>
        <w:rPr>
          <w:rFonts w:ascii="Calibri" w:hAnsi="Calibri" w:cs="Calibri"/>
        </w:rPr>
        <w:t>La ricerca si discosta dai tradizionali approcci quantitativi e misura la qualità del coinvolgimento nelle attività quotidiane, dimostrando che il benessere psicofisico dei giovani non dipende semplicemente dalla quantità di esperienze vissute, ma dalla profondità con cui esse vengono interiorizzate. La felicità percepita, infatti, cresce laddove i giovani si sentono realmente motivati, partecipi e liberi di esprimersi.</w:t>
      </w:r>
    </w:p>
    <w:p w14:paraId="422A44FC" w14:textId="77777777" w:rsidR="00BA118E" w:rsidRDefault="00BA118E">
      <w:pPr>
        <w:pStyle w:val="NormaleWeb"/>
        <w:spacing w:before="0" w:beforeAutospacing="0" w:after="0" w:afterAutospacing="0"/>
        <w:jc w:val="both"/>
        <w:rPr>
          <w:rFonts w:ascii="Calibri" w:hAnsi="Calibri" w:cs="Calibri"/>
        </w:rPr>
      </w:pPr>
    </w:p>
    <w:p w14:paraId="6AA560F8" w14:textId="77777777" w:rsidR="00BA118E" w:rsidRDefault="00000000">
      <w:pPr>
        <w:pStyle w:val="NormaleWeb"/>
        <w:spacing w:before="0" w:beforeAutospacing="0" w:after="0" w:afterAutospacing="0"/>
        <w:jc w:val="both"/>
        <w:rPr>
          <w:rFonts w:ascii="Calibri" w:hAnsi="Calibri" w:cs="Calibri"/>
        </w:rPr>
      </w:pPr>
      <w:r>
        <w:rPr>
          <w:rStyle w:val="Enfasigrassetto"/>
          <w:rFonts w:ascii="Calibri" w:eastAsiaTheme="majorEastAsia" w:hAnsi="Calibri" w:cs="Calibri"/>
        </w:rPr>
        <w:t>Cultura: un potenziale di benessere ancora da attivare</w:t>
      </w:r>
    </w:p>
    <w:p w14:paraId="6585F9BC" w14:textId="77777777" w:rsidR="00BA118E" w:rsidRDefault="00000000">
      <w:pPr>
        <w:pStyle w:val="NormaleWeb"/>
        <w:spacing w:before="0" w:beforeAutospacing="0" w:after="0" w:afterAutospacing="0"/>
        <w:jc w:val="both"/>
        <w:rPr>
          <w:rFonts w:ascii="Calibri" w:hAnsi="Calibri" w:cs="Calibri"/>
        </w:rPr>
      </w:pPr>
      <w:r>
        <w:rPr>
          <w:rFonts w:ascii="Calibri" w:hAnsi="Calibri" w:cs="Calibri"/>
        </w:rPr>
        <w:t xml:space="preserve">Tutti i giovani intervistati dichiarano di aver fruito di contenuti culturali nell’ultimo mese, ma spesso in maniera passiva. Oltre il 90% consuma film, musica e serie TV, mentre solo il 60% legge abitualmente e meno della metà frequenta eventi collettivi come cinema, mostre o concerti. </w:t>
      </w:r>
    </w:p>
    <w:p w14:paraId="5FCA93DC" w14:textId="77777777" w:rsidR="00BA118E" w:rsidRDefault="00000000">
      <w:pPr>
        <w:pStyle w:val="NormaleWeb"/>
        <w:spacing w:before="0" w:beforeAutospacing="0" w:after="0" w:afterAutospacing="0"/>
        <w:jc w:val="both"/>
        <w:rPr>
          <w:rFonts w:ascii="Calibri" w:hAnsi="Calibri" w:cs="Calibri"/>
        </w:rPr>
      </w:pPr>
      <w:r>
        <w:rPr>
          <w:rFonts w:ascii="Calibri" w:hAnsi="Calibri" w:cs="Calibri"/>
        </w:rPr>
        <w:t xml:space="preserve">Tuttavia, circa il 40% svolge queste attività senza interesse o partecipazione attiva, sottolineando come la cultura generi benessere solo se vissuta in modo emotivamente coinvolgente. </w:t>
      </w:r>
    </w:p>
    <w:p w14:paraId="799754B5" w14:textId="77777777" w:rsidR="00BA118E" w:rsidRDefault="00000000">
      <w:pPr>
        <w:pStyle w:val="NormaleWeb"/>
        <w:spacing w:before="0" w:beforeAutospacing="0" w:after="0" w:afterAutospacing="0"/>
        <w:jc w:val="both"/>
        <w:rPr>
          <w:rFonts w:ascii="Calibri" w:hAnsi="Calibri" w:cs="Calibri"/>
        </w:rPr>
      </w:pPr>
      <w:r>
        <w:rPr>
          <w:rFonts w:ascii="Calibri" w:hAnsi="Calibri" w:cs="Calibri"/>
        </w:rPr>
        <w:t>Il Rapporto diretto fra consumo e OHQ si rileva di fatto solamente per i prodotti audiovisivi, determinando di conseguenza un’indicazione strategica per gli operatori culturali affinché ripensino le modalità di accesso e fruizione, puntando non solo sulla quantità e varietà dei contenuti ma anche su percorsi partecipativi ed esperienze di empowerment.</w:t>
      </w:r>
    </w:p>
    <w:p w14:paraId="3D999246" w14:textId="77777777" w:rsidR="00BA118E" w:rsidRDefault="00BA118E">
      <w:pPr>
        <w:pStyle w:val="NormaleWeb"/>
        <w:spacing w:before="0" w:beforeAutospacing="0" w:after="0" w:afterAutospacing="0"/>
        <w:jc w:val="both"/>
        <w:rPr>
          <w:rFonts w:ascii="Calibri" w:hAnsi="Calibri" w:cs="Calibri"/>
        </w:rPr>
      </w:pPr>
    </w:p>
    <w:p w14:paraId="478D5E45" w14:textId="77777777" w:rsidR="00BA118E" w:rsidRDefault="00000000">
      <w:pPr>
        <w:pStyle w:val="NormaleWeb"/>
        <w:spacing w:before="0" w:beforeAutospacing="0" w:after="0" w:afterAutospacing="0"/>
        <w:jc w:val="both"/>
        <w:rPr>
          <w:rFonts w:ascii="Calibri" w:hAnsi="Calibri" w:cs="Calibri"/>
        </w:rPr>
      </w:pPr>
      <w:r>
        <w:rPr>
          <w:rStyle w:val="Enfasigrassetto"/>
          <w:rFonts w:ascii="Calibri" w:eastAsiaTheme="majorEastAsia" w:hAnsi="Calibri" w:cs="Calibri"/>
        </w:rPr>
        <w:t>Creatività: un’arma a doppio taglio</w:t>
      </w:r>
    </w:p>
    <w:p w14:paraId="15666AEA" w14:textId="77777777" w:rsidR="00BA118E" w:rsidRDefault="00000000">
      <w:pPr>
        <w:pStyle w:val="NormaleWeb"/>
        <w:spacing w:before="0" w:beforeAutospacing="0" w:after="0" w:afterAutospacing="0"/>
        <w:jc w:val="both"/>
        <w:rPr>
          <w:rFonts w:ascii="Calibri" w:hAnsi="Calibri" w:cs="Calibri"/>
        </w:rPr>
      </w:pPr>
      <w:r>
        <w:rPr>
          <w:rFonts w:ascii="Calibri" w:hAnsi="Calibri" w:cs="Calibri"/>
        </w:rPr>
        <w:t xml:space="preserve">Il 60% dei giovani è coinvolto in pratiche artistiche e creative, ma con un effetto paradossale: l’indice di benessere risulta più basso tra chi si esprime artisticamente. Questo dato evidenzia come la creatività possa portare a una maggiore consapevolezza emotiva tra i giovani maggiormente </w:t>
      </w:r>
      <w:r>
        <w:rPr>
          <w:rFonts w:ascii="Calibri" w:hAnsi="Calibri" w:cs="Calibri"/>
        </w:rPr>
        <w:lastRenderedPageBreak/>
        <w:t xml:space="preserve">coinvolti nella produzione artistica, con una conseguente maggiore esposizione a fragilità ed insicurezze. </w:t>
      </w:r>
    </w:p>
    <w:p w14:paraId="1520516D" w14:textId="77777777" w:rsidR="00BA118E" w:rsidRDefault="00000000">
      <w:pPr>
        <w:pStyle w:val="NormaleWeb"/>
        <w:spacing w:before="0" w:beforeAutospacing="0" w:after="0" w:afterAutospacing="0"/>
        <w:jc w:val="both"/>
        <w:rPr>
          <w:rFonts w:ascii="Calibri" w:hAnsi="Calibri" w:cs="Calibri"/>
        </w:rPr>
      </w:pPr>
      <w:r>
        <w:rPr>
          <w:rFonts w:ascii="Calibri" w:hAnsi="Calibri" w:cs="Calibri"/>
        </w:rPr>
        <w:t>Da tale constatazione deriva quindi l’indicazione di sostenere la partecipazione creativa con iniziative di riconoscimento e motivazione autentiche, al fine di non generare frustrazione e fragilità.</w:t>
      </w:r>
    </w:p>
    <w:p w14:paraId="13E081D7" w14:textId="77777777" w:rsidR="00BA118E" w:rsidRDefault="00BA118E">
      <w:pPr>
        <w:pStyle w:val="NormaleWeb"/>
        <w:spacing w:before="0" w:beforeAutospacing="0" w:after="0" w:afterAutospacing="0"/>
        <w:jc w:val="both"/>
        <w:rPr>
          <w:rFonts w:ascii="Calibri" w:hAnsi="Calibri" w:cs="Calibri"/>
        </w:rPr>
      </w:pPr>
    </w:p>
    <w:p w14:paraId="26E1D446" w14:textId="77777777" w:rsidR="00BA118E" w:rsidRDefault="00000000">
      <w:pPr>
        <w:pStyle w:val="NormaleWeb"/>
        <w:spacing w:before="0" w:beforeAutospacing="0" w:after="0" w:afterAutospacing="0"/>
        <w:jc w:val="both"/>
        <w:rPr>
          <w:rFonts w:ascii="Calibri" w:hAnsi="Calibri" w:cs="Calibri"/>
        </w:rPr>
      </w:pPr>
      <w:r>
        <w:rPr>
          <w:rStyle w:val="Enfasigrassetto"/>
          <w:rFonts w:ascii="Calibri" w:eastAsiaTheme="majorEastAsia" w:hAnsi="Calibri" w:cs="Calibri"/>
        </w:rPr>
        <w:t>Studio e lavoro: tra valore percepito e precarietà emotiva</w:t>
      </w:r>
    </w:p>
    <w:p w14:paraId="409939A0" w14:textId="77777777" w:rsidR="00BA118E" w:rsidRDefault="00000000">
      <w:pPr>
        <w:pStyle w:val="NormaleWeb"/>
        <w:spacing w:before="0" w:beforeAutospacing="0" w:after="0" w:afterAutospacing="0"/>
        <w:jc w:val="both"/>
        <w:rPr>
          <w:rFonts w:ascii="Calibri" w:hAnsi="Calibri" w:cs="Calibri"/>
        </w:rPr>
      </w:pPr>
      <w:r>
        <w:rPr>
          <w:rFonts w:ascii="Calibri" w:hAnsi="Calibri" w:cs="Calibri"/>
        </w:rPr>
        <w:t>Il lavoro è ritenuto un fattore centrale, ma spesso non restituisce un senso di realizzazione. I giovani che lavorano, infatti, denunciano livelli di felicità inferiori, legati spesso alla precarietà, al senso di inadeguatezza, alla bassa gratificazione e alla mancanza di prospettive. In tal senso il Rapporto evidenzia la necessità di un patto generazionale che attribuisca dignità e prospettiva all’occupazione giovanile. Anche lo studio, pur considerato fondamentale, può essere fonte di stress. Tuttavia, l’Università si conferma come ambito positivo, dove il senso di progetto formativo rafforza l’equilibrio personale.</w:t>
      </w:r>
    </w:p>
    <w:p w14:paraId="514491CE" w14:textId="77777777" w:rsidR="00BA118E" w:rsidRDefault="00BA118E">
      <w:pPr>
        <w:pStyle w:val="NormaleWeb"/>
        <w:spacing w:before="0" w:beforeAutospacing="0" w:after="0" w:afterAutospacing="0"/>
        <w:jc w:val="both"/>
        <w:rPr>
          <w:rStyle w:val="Enfasigrassetto"/>
          <w:rFonts w:ascii="Calibri" w:eastAsiaTheme="majorEastAsia" w:hAnsi="Calibri" w:cs="Calibri"/>
        </w:rPr>
      </w:pPr>
    </w:p>
    <w:p w14:paraId="4E9A6E24" w14:textId="77777777" w:rsidR="00BA118E" w:rsidRDefault="00000000">
      <w:pPr>
        <w:pStyle w:val="NormaleWeb"/>
        <w:spacing w:before="0" w:beforeAutospacing="0" w:after="0" w:afterAutospacing="0"/>
        <w:jc w:val="both"/>
        <w:rPr>
          <w:rFonts w:ascii="Calibri" w:hAnsi="Calibri" w:cs="Calibri"/>
        </w:rPr>
      </w:pPr>
      <w:r>
        <w:rPr>
          <w:rStyle w:val="Enfasigrassetto"/>
          <w:rFonts w:ascii="Calibri" w:eastAsiaTheme="majorEastAsia" w:hAnsi="Calibri" w:cs="Calibri"/>
        </w:rPr>
        <w:t>Sport: quando l’impegno fa bene</w:t>
      </w:r>
    </w:p>
    <w:p w14:paraId="158040E9" w14:textId="77777777" w:rsidR="00BA118E" w:rsidRDefault="00000000">
      <w:pPr>
        <w:pStyle w:val="NormaleWeb"/>
        <w:spacing w:before="0" w:beforeAutospacing="0" w:after="0" w:afterAutospacing="0"/>
        <w:jc w:val="both"/>
        <w:rPr>
          <w:rFonts w:ascii="Calibri" w:hAnsi="Calibri" w:cs="Calibri"/>
        </w:rPr>
      </w:pPr>
      <w:r>
        <w:rPr>
          <w:rFonts w:ascii="Calibri" w:hAnsi="Calibri" w:cs="Calibri"/>
        </w:rPr>
        <w:t>Lo sport è riconosciuto come rilevante dalla stragrande maggioranza dei giovani, ma solo chi lo pratica con costanza e coinvolgimento registra effetti positivi concreti sul benessere. Le attività sportive occasionali, invece, producono impatti limitati sull’indice OHQ, confermando che la qualità della partecipazione è più decisiva della semplice frequenza.</w:t>
      </w:r>
    </w:p>
    <w:p w14:paraId="7446D859" w14:textId="77777777" w:rsidR="00BA118E" w:rsidRDefault="00BA118E">
      <w:pPr>
        <w:pStyle w:val="NormaleWeb"/>
        <w:spacing w:before="0" w:beforeAutospacing="0" w:after="0" w:afterAutospacing="0"/>
        <w:jc w:val="both"/>
        <w:rPr>
          <w:rStyle w:val="Enfasigrassetto"/>
          <w:rFonts w:ascii="Calibri" w:eastAsiaTheme="majorEastAsia" w:hAnsi="Calibri" w:cs="Calibri"/>
        </w:rPr>
      </w:pPr>
    </w:p>
    <w:p w14:paraId="5CE6C6E4" w14:textId="77777777" w:rsidR="00BA118E" w:rsidRDefault="00000000">
      <w:pPr>
        <w:pStyle w:val="NormaleWeb"/>
        <w:spacing w:before="0" w:beforeAutospacing="0" w:after="0" w:afterAutospacing="0"/>
        <w:jc w:val="both"/>
        <w:rPr>
          <w:rFonts w:ascii="Calibri" w:hAnsi="Calibri" w:cs="Calibri"/>
        </w:rPr>
      </w:pPr>
      <w:r>
        <w:rPr>
          <w:rStyle w:val="Enfasigrassetto"/>
          <w:rFonts w:ascii="Calibri" w:eastAsiaTheme="majorEastAsia" w:hAnsi="Calibri" w:cs="Calibri"/>
        </w:rPr>
        <w:t>Cittadinanza attiva: tra impegno e disillusione</w:t>
      </w:r>
    </w:p>
    <w:p w14:paraId="1C68FCB6" w14:textId="6FDE35FD" w:rsidR="00BA118E" w:rsidRDefault="00000000">
      <w:pPr>
        <w:pStyle w:val="NormaleWeb"/>
        <w:spacing w:before="0" w:beforeAutospacing="0" w:after="0" w:afterAutospacing="0"/>
        <w:jc w:val="both"/>
        <w:rPr>
          <w:rFonts w:ascii="Calibri" w:hAnsi="Calibri" w:cs="Calibri"/>
        </w:rPr>
      </w:pPr>
      <w:r>
        <w:rPr>
          <w:rFonts w:ascii="Calibri" w:hAnsi="Calibri" w:cs="Calibri"/>
        </w:rPr>
        <w:t xml:space="preserve">Solo una minoranza dei giovani partecipa attivamente alla vita civica, al volontariato o all’associazionismo. E chi lo fa spesso manifesta, come già rilevato per le pratiche artistiche e </w:t>
      </w:r>
      <w:r w:rsidR="00D452F4">
        <w:rPr>
          <w:rFonts w:ascii="Calibri" w:hAnsi="Calibri" w:cs="Calibri"/>
        </w:rPr>
        <w:t>creative, un</w:t>
      </w:r>
      <w:r>
        <w:rPr>
          <w:rFonts w:ascii="Calibri" w:hAnsi="Calibri" w:cs="Calibri"/>
        </w:rPr>
        <w:t xml:space="preserve"> benessere leggermente inferiore rispetto alla media. Tale risultanza può derivare dal senso di impotenza o alle aspettative deluse rispetto all’impegno profuso. Anche in questo ambito, l’elemento discriminante può essere determinato dalla capacità delle esperienze vissute di generare senso, comunità e impatto reale.</w:t>
      </w:r>
    </w:p>
    <w:p w14:paraId="02B38A78" w14:textId="77777777" w:rsidR="00BA118E" w:rsidRDefault="00BA118E">
      <w:pPr>
        <w:pStyle w:val="NormaleWeb"/>
        <w:spacing w:before="0" w:beforeAutospacing="0" w:after="0" w:afterAutospacing="0"/>
        <w:jc w:val="both"/>
        <w:rPr>
          <w:rFonts w:ascii="Calibri" w:hAnsi="Calibri" w:cs="Calibri"/>
        </w:rPr>
      </w:pPr>
    </w:p>
    <w:p w14:paraId="3CD3C17C" w14:textId="77777777" w:rsidR="00BA118E" w:rsidRDefault="00000000">
      <w:pPr>
        <w:pStyle w:val="NormaleWeb"/>
        <w:spacing w:before="0" w:beforeAutospacing="0" w:after="0" w:afterAutospacing="0"/>
        <w:jc w:val="both"/>
        <w:rPr>
          <w:rFonts w:ascii="Calibri" w:hAnsi="Calibri" w:cs="Calibri"/>
        </w:rPr>
      </w:pPr>
      <w:r>
        <w:rPr>
          <w:rStyle w:val="Enfasigrassetto"/>
          <w:rFonts w:ascii="Calibri" w:eastAsiaTheme="majorEastAsia" w:hAnsi="Calibri" w:cs="Calibri"/>
        </w:rPr>
        <w:t>Relazioni e orientamento: i veri catalizzatori del benessere</w:t>
      </w:r>
    </w:p>
    <w:p w14:paraId="22B28C1D" w14:textId="797DFA89" w:rsidR="00BA118E" w:rsidRDefault="00000000">
      <w:pPr>
        <w:pStyle w:val="Corpo"/>
        <w:jc w:val="both"/>
        <w:rPr>
          <w:rFonts w:ascii="Calibri" w:eastAsia="Times New Roman" w:hAnsi="Calibri" w:cs="Calibri"/>
          <w:color w:val="auto"/>
          <w:sz w:val="24"/>
          <w:szCs w:val="24"/>
        </w:rPr>
      </w:pPr>
      <w:r>
        <w:rPr>
          <w:rFonts w:ascii="Calibri" w:eastAsia="Times New Roman" w:hAnsi="Calibri" w:cs="Calibri"/>
          <w:color w:val="auto"/>
          <w:sz w:val="24"/>
          <w:szCs w:val="24"/>
        </w:rPr>
        <w:t xml:space="preserve">Un elemento ricorrente in tutti gli ambiti analizzati è che il benessere non dipende, quindi, solo dal </w:t>
      </w:r>
      <w:r>
        <w:rPr>
          <w:rFonts w:ascii="Calibri" w:eastAsia="Times New Roman" w:hAnsi="Calibri" w:cs="Calibri"/>
          <w:color w:val="auto"/>
          <w:sz w:val="24"/>
          <w:szCs w:val="24"/>
          <w:rtl/>
        </w:rPr>
        <w:t>“</w:t>
      </w:r>
      <w:r>
        <w:rPr>
          <w:rFonts w:ascii="Calibri" w:eastAsia="Times New Roman" w:hAnsi="Calibri" w:cs="Calibri"/>
          <w:color w:val="auto"/>
          <w:sz w:val="24"/>
          <w:szCs w:val="24"/>
        </w:rPr>
        <w:t xml:space="preserve">fare”, ma dal modo in cui vengono vissute le esperienze. Una quota significativa di giovani vive in modo passivo (“una cosa che non interessa”) o con </w:t>
      </w:r>
      <w:r w:rsidR="00034A4E">
        <w:rPr>
          <w:rFonts w:ascii="Calibri" w:eastAsia="Times New Roman" w:hAnsi="Calibri" w:cs="Calibri"/>
          <w:color w:val="auto"/>
          <w:sz w:val="24"/>
          <w:szCs w:val="24"/>
        </w:rPr>
        <w:t>disagio (</w:t>
      </w:r>
      <w:r>
        <w:rPr>
          <w:rFonts w:ascii="Calibri" w:eastAsia="Times New Roman" w:hAnsi="Calibri" w:cs="Calibri"/>
          <w:color w:val="auto"/>
          <w:sz w:val="24"/>
          <w:szCs w:val="24"/>
        </w:rPr>
        <w:t>“un dovere fatto contro voglia”) le attività proposte e il sentirsi liberi, motivati e coinvolti nelle attività risulta determinante per il benessere individuale. I picchi massimi di soddisfazione e motivazione si riscontrano nei consumi culturali e nella pratica sportiva.</w:t>
      </w:r>
    </w:p>
    <w:p w14:paraId="36B60BC1" w14:textId="77777777" w:rsidR="00BA118E" w:rsidRDefault="00000000">
      <w:pPr>
        <w:pStyle w:val="NormaleWeb"/>
        <w:spacing w:before="0" w:beforeAutospacing="0" w:after="0" w:afterAutospacing="0"/>
        <w:jc w:val="both"/>
        <w:rPr>
          <w:rFonts w:ascii="Calibri" w:hAnsi="Calibri" w:cs="Calibri"/>
        </w:rPr>
      </w:pPr>
      <w:r>
        <w:rPr>
          <w:rFonts w:ascii="Calibri" w:hAnsi="Calibri" w:cs="Calibri"/>
        </w:rPr>
        <w:t xml:space="preserve">Al di là delle singole attività, ciò che fa davvero la differenza è la rete relazionale. I giovani con rapporti familiari solidi, fiducia negli altri e la presenza di adulti significativi – educatori, docenti, allenatori, mentori – riportano punteggi OHQ sensibilmente più alti. La solitudine, invece, si conferma come uno dei fattori più critici per il benessere giovanile. </w:t>
      </w:r>
    </w:p>
    <w:p w14:paraId="00EDAF14" w14:textId="77777777" w:rsidR="00BA118E" w:rsidRDefault="00BA118E">
      <w:pPr>
        <w:pStyle w:val="NormaleWeb"/>
        <w:spacing w:before="0" w:beforeAutospacing="0" w:after="0" w:afterAutospacing="0"/>
        <w:jc w:val="both"/>
        <w:rPr>
          <w:rFonts w:ascii="Calibri" w:hAnsi="Calibri" w:cs="Calibri"/>
        </w:rPr>
      </w:pPr>
    </w:p>
    <w:p w14:paraId="39623C14" w14:textId="77777777" w:rsidR="00BA118E" w:rsidRDefault="00000000">
      <w:pPr>
        <w:pStyle w:val="NormaleWeb"/>
        <w:spacing w:before="0" w:beforeAutospacing="0" w:after="0" w:afterAutospacing="0"/>
        <w:jc w:val="both"/>
        <w:rPr>
          <w:rFonts w:ascii="Calibri" w:hAnsi="Calibri" w:cs="Calibri"/>
        </w:rPr>
      </w:pPr>
      <w:r>
        <w:rPr>
          <w:rStyle w:val="Enfasigrassetto"/>
          <w:rFonts w:ascii="Calibri" w:eastAsiaTheme="majorEastAsia" w:hAnsi="Calibri" w:cs="Calibri"/>
        </w:rPr>
        <w:t>Verso politiche generative: proposte per seminare fiducia</w:t>
      </w:r>
    </w:p>
    <w:p w14:paraId="08A78C62" w14:textId="77777777" w:rsidR="00BA118E" w:rsidRDefault="00000000">
      <w:pPr>
        <w:pStyle w:val="NormaleWeb"/>
        <w:spacing w:before="0" w:beforeAutospacing="0" w:after="0" w:afterAutospacing="0"/>
        <w:jc w:val="both"/>
        <w:rPr>
          <w:rFonts w:ascii="Calibri" w:hAnsi="Calibri" w:cs="Calibri"/>
        </w:rPr>
      </w:pPr>
      <w:r>
        <w:rPr>
          <w:rFonts w:ascii="Calibri" w:hAnsi="Calibri" w:cs="Calibri"/>
        </w:rPr>
        <w:t>Il Rapporto si chiude con una serie di proposte operative orientate a rafforzare il benessere giovanile e la cittadinanza attiva:</w:t>
      </w:r>
    </w:p>
    <w:p w14:paraId="1EC144A0" w14:textId="77777777" w:rsidR="00BA118E" w:rsidRDefault="00000000">
      <w:pPr>
        <w:pStyle w:val="NormaleWeb"/>
        <w:numPr>
          <w:ilvl w:val="0"/>
          <w:numId w:val="1"/>
        </w:numPr>
        <w:spacing w:before="0" w:beforeAutospacing="0" w:after="0" w:afterAutospacing="0"/>
        <w:jc w:val="both"/>
        <w:rPr>
          <w:rFonts w:ascii="Calibri" w:hAnsi="Calibri" w:cs="Calibri"/>
        </w:rPr>
      </w:pPr>
      <w:r>
        <w:rPr>
          <w:rFonts w:ascii="Calibri" w:hAnsi="Calibri" w:cs="Calibri"/>
        </w:rPr>
        <w:t>Introdurre percorsi strutturati di educazione emotiva nelle scuole, con spazi di ascolto, libera espressione e orientamento;</w:t>
      </w:r>
    </w:p>
    <w:p w14:paraId="77726A5D" w14:textId="77777777" w:rsidR="00BA118E" w:rsidRDefault="00000000">
      <w:pPr>
        <w:pStyle w:val="NormaleWeb"/>
        <w:numPr>
          <w:ilvl w:val="0"/>
          <w:numId w:val="1"/>
        </w:numPr>
        <w:jc w:val="both"/>
        <w:rPr>
          <w:rFonts w:ascii="Calibri" w:hAnsi="Calibri" w:cs="Calibri"/>
        </w:rPr>
      </w:pPr>
      <w:r>
        <w:rPr>
          <w:rFonts w:ascii="Calibri" w:hAnsi="Calibri" w:cs="Calibri"/>
        </w:rPr>
        <w:t>Sostenere e abilitare iniziative culturali co-create dai giovani, inclusive e partecipative;</w:t>
      </w:r>
    </w:p>
    <w:p w14:paraId="7B67737C" w14:textId="77777777" w:rsidR="00BA118E" w:rsidRDefault="00000000">
      <w:pPr>
        <w:pStyle w:val="NormaleWeb"/>
        <w:numPr>
          <w:ilvl w:val="0"/>
          <w:numId w:val="1"/>
        </w:numPr>
        <w:jc w:val="both"/>
        <w:rPr>
          <w:rFonts w:ascii="Calibri" w:hAnsi="Calibri" w:cs="Calibri"/>
        </w:rPr>
      </w:pPr>
      <w:r>
        <w:rPr>
          <w:rFonts w:ascii="Calibri" w:hAnsi="Calibri" w:cs="Calibri"/>
        </w:rPr>
        <w:t>Promuovere ambienti sportivi motivanti, non solo competitivi;</w:t>
      </w:r>
    </w:p>
    <w:p w14:paraId="4AC64612" w14:textId="77777777" w:rsidR="00BA118E" w:rsidRDefault="00000000">
      <w:pPr>
        <w:pStyle w:val="NormaleWeb"/>
        <w:numPr>
          <w:ilvl w:val="0"/>
          <w:numId w:val="1"/>
        </w:numPr>
        <w:jc w:val="both"/>
        <w:rPr>
          <w:rFonts w:ascii="Calibri" w:hAnsi="Calibri" w:cs="Calibri"/>
        </w:rPr>
      </w:pPr>
      <w:r>
        <w:rPr>
          <w:rFonts w:ascii="Calibri" w:hAnsi="Calibri" w:cs="Calibri"/>
        </w:rPr>
        <w:t>Valorizzare il diritto al fallimento e i percorsi non lineari;</w:t>
      </w:r>
    </w:p>
    <w:p w14:paraId="337AFB47" w14:textId="77777777" w:rsidR="00BA118E" w:rsidRDefault="00000000">
      <w:pPr>
        <w:pStyle w:val="NormaleWeb"/>
        <w:numPr>
          <w:ilvl w:val="0"/>
          <w:numId w:val="1"/>
        </w:numPr>
        <w:jc w:val="both"/>
        <w:rPr>
          <w:rFonts w:ascii="Calibri" w:hAnsi="Calibri" w:cs="Calibri"/>
        </w:rPr>
      </w:pPr>
      <w:r>
        <w:rPr>
          <w:rFonts w:ascii="Calibri" w:hAnsi="Calibri" w:cs="Calibri"/>
        </w:rPr>
        <w:lastRenderedPageBreak/>
        <w:t>Semplificare l’accesso a esperienze di volontariato e impegno civico, evitando eccessi burocratici;</w:t>
      </w:r>
    </w:p>
    <w:p w14:paraId="1006AB5D" w14:textId="77777777" w:rsidR="00BA118E" w:rsidRDefault="00000000">
      <w:pPr>
        <w:pStyle w:val="NormaleWeb"/>
        <w:numPr>
          <w:ilvl w:val="0"/>
          <w:numId w:val="1"/>
        </w:numPr>
        <w:jc w:val="both"/>
        <w:rPr>
          <w:rFonts w:ascii="Calibri" w:hAnsi="Calibri" w:cs="Calibri"/>
        </w:rPr>
      </w:pPr>
      <w:r>
        <w:rPr>
          <w:rFonts w:ascii="Calibri" w:hAnsi="Calibri" w:cs="Calibri"/>
        </w:rPr>
        <w:t>Creare ambienti sportivi inclusivi, che favoriscano la motivazione personale e non solo la performance;</w:t>
      </w:r>
    </w:p>
    <w:p w14:paraId="6AE8B6B8" w14:textId="77777777" w:rsidR="00BA118E" w:rsidRDefault="00000000">
      <w:pPr>
        <w:pStyle w:val="NormaleWeb"/>
        <w:numPr>
          <w:ilvl w:val="0"/>
          <w:numId w:val="1"/>
        </w:numPr>
        <w:jc w:val="both"/>
        <w:rPr>
          <w:rFonts w:ascii="Calibri" w:hAnsi="Calibri" w:cs="Calibri"/>
        </w:rPr>
      </w:pPr>
      <w:r>
        <w:rPr>
          <w:rFonts w:ascii="Calibri" w:hAnsi="Calibri" w:cs="Calibri"/>
        </w:rPr>
        <w:t>Facilitare la transizione scuola-lavoro con tutoraggi ed esperienze in impresa;</w:t>
      </w:r>
    </w:p>
    <w:p w14:paraId="7CB6A9ED" w14:textId="77777777" w:rsidR="00BA118E" w:rsidRDefault="00000000">
      <w:pPr>
        <w:pStyle w:val="NormaleWeb"/>
        <w:numPr>
          <w:ilvl w:val="0"/>
          <w:numId w:val="1"/>
        </w:numPr>
        <w:jc w:val="both"/>
        <w:rPr>
          <w:rFonts w:ascii="Calibri" w:hAnsi="Calibri" w:cs="Calibri"/>
        </w:rPr>
      </w:pPr>
      <w:r>
        <w:rPr>
          <w:rFonts w:ascii="Calibri" w:hAnsi="Calibri" w:cs="Calibri"/>
        </w:rPr>
        <w:t>Rafforzare le reti territoriali tra scuola, cultura, Terzo settore e servizi sociali;</w:t>
      </w:r>
    </w:p>
    <w:p w14:paraId="06A1D752" w14:textId="77777777" w:rsidR="00BA118E" w:rsidRDefault="00000000">
      <w:pPr>
        <w:pStyle w:val="Corpo"/>
        <w:numPr>
          <w:ilvl w:val="0"/>
          <w:numId w:val="1"/>
        </w:numPr>
        <w:jc w:val="both"/>
        <w:rPr>
          <w:rFonts w:ascii="Calibri" w:eastAsia="Times New Roman" w:hAnsi="Calibri" w:cs="Calibri"/>
          <w:color w:val="auto"/>
          <w:sz w:val="24"/>
          <w:szCs w:val="24"/>
        </w:rPr>
      </w:pPr>
      <w:r>
        <w:rPr>
          <w:rFonts w:ascii="Calibri" w:eastAsia="Times New Roman" w:hAnsi="Calibri" w:cs="Calibri"/>
          <w:color w:val="auto"/>
          <w:sz w:val="24"/>
          <w:szCs w:val="24"/>
        </w:rPr>
        <w:t>Rafforzare il ruolo degli adulti educanti: docenti, operatori, allenatori e formatori devono essere formati come figure di riferimento emotivo, non solo tecnico.</w:t>
      </w:r>
    </w:p>
    <w:p w14:paraId="09CE1FC3" w14:textId="77777777" w:rsidR="00BA118E" w:rsidRDefault="00BA118E">
      <w:pPr>
        <w:pStyle w:val="NormaleWeb"/>
        <w:jc w:val="both"/>
        <w:rPr>
          <w:rStyle w:val="Enfasigrassetto"/>
          <w:rFonts w:ascii="Calibri" w:eastAsiaTheme="majorEastAsia" w:hAnsi="Calibri" w:cs="Calibri"/>
        </w:rPr>
      </w:pPr>
    </w:p>
    <w:p w14:paraId="43A52D71" w14:textId="77777777" w:rsidR="00BA118E" w:rsidRDefault="00000000">
      <w:pPr>
        <w:pStyle w:val="NormaleWeb"/>
        <w:spacing w:before="0" w:beforeAutospacing="0" w:after="0" w:afterAutospacing="0"/>
        <w:jc w:val="both"/>
        <w:rPr>
          <w:rFonts w:ascii="Calibri" w:hAnsi="Calibri" w:cs="Calibri"/>
        </w:rPr>
      </w:pPr>
      <w:r>
        <w:rPr>
          <w:rStyle w:val="Enfasigrassetto"/>
          <w:rFonts w:ascii="Calibri" w:eastAsiaTheme="majorEastAsia" w:hAnsi="Calibri" w:cs="Calibri"/>
        </w:rPr>
        <w:t>Conclusioni: meno attività, più autenticità</w:t>
      </w:r>
    </w:p>
    <w:p w14:paraId="32CD2B55" w14:textId="70342FFF" w:rsidR="00BA118E" w:rsidRDefault="00000000">
      <w:pPr>
        <w:pStyle w:val="NormaleWeb"/>
        <w:spacing w:before="0" w:beforeAutospacing="0" w:after="0" w:afterAutospacing="0"/>
        <w:jc w:val="both"/>
        <w:rPr>
          <w:rFonts w:ascii="Calibri" w:hAnsi="Calibri" w:cs="Calibri"/>
        </w:rPr>
      </w:pPr>
      <w:r>
        <w:rPr>
          <w:rFonts w:ascii="Calibri" w:hAnsi="Calibri" w:cs="Calibri"/>
        </w:rPr>
        <w:t>I giovani non chiedono “più cose da fare”, ma esperienze vere, relazioni significative e adulti credibili. Investire sul loro benessere significa costruire ecosistemi che mettano al centro la qualità, la fiducia e la co-progettazione. Il futuro si semina oggi, ascoltando chi lo abiterà domani.</w:t>
      </w:r>
    </w:p>
    <w:p w14:paraId="1D223A42" w14:textId="4521A9C1" w:rsidR="003210DF" w:rsidRDefault="003210DF">
      <w:pPr>
        <w:pStyle w:val="NormaleWeb"/>
        <w:spacing w:before="0" w:beforeAutospacing="0" w:after="0" w:afterAutospacing="0"/>
        <w:jc w:val="both"/>
        <w:rPr>
          <w:rFonts w:ascii="Calibri" w:hAnsi="Calibri" w:cs="Calibri"/>
        </w:rPr>
      </w:pPr>
    </w:p>
    <w:p w14:paraId="2EAD9B1D" w14:textId="7F40BFA1" w:rsidR="00BA118E" w:rsidRDefault="00F552AA">
      <w:pPr>
        <w:jc w:val="both"/>
        <w:rPr>
          <w:rFonts w:ascii="Calibri" w:hAnsi="Calibri" w:cs="Calibri"/>
          <w:sz w:val="24"/>
          <w:szCs w:val="24"/>
        </w:rPr>
      </w:pPr>
      <w:r w:rsidRPr="00F552AA">
        <w:rPr>
          <w:rFonts w:ascii="Calibri" w:hAnsi="Calibri" w:cs="Calibri"/>
          <w:sz w:val="24"/>
          <w:szCs w:val="24"/>
        </w:rPr>
        <w:t xml:space="preserve">Il Rapporto edito da Marsilio Editori è stato realizzato anche grazie al sostegno di </w:t>
      </w:r>
      <w:proofErr w:type="spellStart"/>
      <w:r w:rsidRPr="00F552AA">
        <w:rPr>
          <w:rFonts w:ascii="Calibri" w:hAnsi="Calibri" w:cs="Calibri"/>
          <w:sz w:val="24"/>
          <w:szCs w:val="24"/>
        </w:rPr>
        <w:t>Brightstar</w:t>
      </w:r>
      <w:proofErr w:type="spellEnd"/>
      <w:r w:rsidRPr="00F552AA">
        <w:rPr>
          <w:rFonts w:ascii="Calibri" w:hAnsi="Calibri" w:cs="Calibri"/>
          <w:sz w:val="24"/>
          <w:szCs w:val="24"/>
        </w:rPr>
        <w:t>.</w:t>
      </w:r>
    </w:p>
    <w:p w14:paraId="55247E9A" w14:textId="77777777" w:rsidR="00BA118E" w:rsidRDefault="00BA118E">
      <w:pPr>
        <w:jc w:val="both"/>
        <w:rPr>
          <w:rFonts w:ascii="Calibri" w:hAnsi="Calibri" w:cs="Calibri"/>
          <w:sz w:val="24"/>
          <w:szCs w:val="24"/>
        </w:rPr>
      </w:pPr>
    </w:p>
    <w:p w14:paraId="1272C137" w14:textId="77777777" w:rsidR="00D452F4" w:rsidRDefault="00D452F4">
      <w:pPr>
        <w:jc w:val="right"/>
        <w:rPr>
          <w:rFonts w:ascii="Calibri" w:hAnsi="Calibri" w:cs="Calibri"/>
          <w:sz w:val="18"/>
          <w:szCs w:val="18"/>
        </w:rPr>
      </w:pPr>
    </w:p>
    <w:p w14:paraId="43B728EB" w14:textId="77777777" w:rsidR="00D452F4" w:rsidRDefault="00D452F4">
      <w:pPr>
        <w:jc w:val="right"/>
        <w:rPr>
          <w:rFonts w:ascii="Calibri" w:hAnsi="Calibri" w:cs="Calibri"/>
          <w:sz w:val="18"/>
          <w:szCs w:val="18"/>
        </w:rPr>
      </w:pPr>
    </w:p>
    <w:p w14:paraId="573137C4" w14:textId="77777777" w:rsidR="00D452F4" w:rsidRDefault="00D452F4">
      <w:pPr>
        <w:jc w:val="right"/>
        <w:rPr>
          <w:rFonts w:ascii="Calibri" w:hAnsi="Calibri" w:cs="Calibri"/>
          <w:sz w:val="18"/>
          <w:szCs w:val="18"/>
        </w:rPr>
      </w:pPr>
    </w:p>
    <w:p w14:paraId="12F7B1B7" w14:textId="77777777" w:rsidR="00D452F4" w:rsidRDefault="00D452F4">
      <w:pPr>
        <w:jc w:val="right"/>
        <w:rPr>
          <w:rFonts w:ascii="Calibri" w:hAnsi="Calibri" w:cs="Calibri"/>
          <w:sz w:val="18"/>
          <w:szCs w:val="18"/>
        </w:rPr>
      </w:pPr>
    </w:p>
    <w:p w14:paraId="3CE4F76E" w14:textId="77777777" w:rsidR="00D452F4" w:rsidRDefault="00D452F4">
      <w:pPr>
        <w:jc w:val="right"/>
        <w:rPr>
          <w:rFonts w:ascii="Calibri" w:hAnsi="Calibri" w:cs="Calibri"/>
          <w:sz w:val="18"/>
          <w:szCs w:val="18"/>
        </w:rPr>
      </w:pPr>
    </w:p>
    <w:p w14:paraId="701156FB" w14:textId="77777777" w:rsidR="00D452F4" w:rsidRDefault="00D452F4">
      <w:pPr>
        <w:jc w:val="right"/>
        <w:rPr>
          <w:rFonts w:ascii="Calibri" w:hAnsi="Calibri" w:cs="Calibri"/>
          <w:sz w:val="18"/>
          <w:szCs w:val="18"/>
        </w:rPr>
      </w:pPr>
    </w:p>
    <w:p w14:paraId="7393DA89" w14:textId="77777777" w:rsidR="00D452F4" w:rsidRDefault="00D452F4">
      <w:pPr>
        <w:jc w:val="right"/>
        <w:rPr>
          <w:rFonts w:ascii="Calibri" w:hAnsi="Calibri" w:cs="Calibri"/>
          <w:sz w:val="18"/>
          <w:szCs w:val="18"/>
        </w:rPr>
      </w:pPr>
    </w:p>
    <w:p w14:paraId="7A619A95" w14:textId="77777777" w:rsidR="00D452F4" w:rsidRDefault="00D452F4">
      <w:pPr>
        <w:jc w:val="right"/>
        <w:rPr>
          <w:rFonts w:ascii="Calibri" w:hAnsi="Calibri" w:cs="Calibri"/>
          <w:sz w:val="18"/>
          <w:szCs w:val="18"/>
        </w:rPr>
      </w:pPr>
    </w:p>
    <w:p w14:paraId="3EE0B20A" w14:textId="77777777" w:rsidR="00D452F4" w:rsidRDefault="00D452F4">
      <w:pPr>
        <w:jc w:val="right"/>
        <w:rPr>
          <w:rFonts w:ascii="Calibri" w:hAnsi="Calibri" w:cs="Calibri"/>
          <w:sz w:val="18"/>
          <w:szCs w:val="18"/>
        </w:rPr>
      </w:pPr>
    </w:p>
    <w:p w14:paraId="20D12596" w14:textId="77777777" w:rsidR="00D452F4" w:rsidRDefault="00D452F4">
      <w:pPr>
        <w:jc w:val="right"/>
        <w:rPr>
          <w:rFonts w:ascii="Calibri" w:hAnsi="Calibri" w:cs="Calibri"/>
          <w:sz w:val="18"/>
          <w:szCs w:val="18"/>
        </w:rPr>
      </w:pPr>
    </w:p>
    <w:p w14:paraId="7BC60CDE" w14:textId="77777777" w:rsidR="00D452F4" w:rsidRDefault="00D452F4">
      <w:pPr>
        <w:jc w:val="right"/>
        <w:rPr>
          <w:rFonts w:ascii="Calibri" w:hAnsi="Calibri" w:cs="Calibri"/>
          <w:sz w:val="18"/>
          <w:szCs w:val="18"/>
        </w:rPr>
      </w:pPr>
    </w:p>
    <w:p w14:paraId="32BD3987" w14:textId="77777777" w:rsidR="00D452F4" w:rsidRDefault="00D452F4">
      <w:pPr>
        <w:jc w:val="right"/>
        <w:rPr>
          <w:rFonts w:ascii="Calibri" w:hAnsi="Calibri" w:cs="Calibri"/>
          <w:sz w:val="18"/>
          <w:szCs w:val="18"/>
        </w:rPr>
      </w:pPr>
    </w:p>
    <w:p w14:paraId="6CACD8FB" w14:textId="77777777" w:rsidR="00D452F4" w:rsidRDefault="00D452F4">
      <w:pPr>
        <w:jc w:val="right"/>
        <w:rPr>
          <w:rFonts w:ascii="Calibri" w:hAnsi="Calibri" w:cs="Calibri"/>
          <w:sz w:val="18"/>
          <w:szCs w:val="18"/>
        </w:rPr>
      </w:pPr>
    </w:p>
    <w:p w14:paraId="175C0451" w14:textId="77777777" w:rsidR="00D452F4" w:rsidRDefault="00D452F4">
      <w:pPr>
        <w:jc w:val="right"/>
        <w:rPr>
          <w:rFonts w:ascii="Calibri" w:hAnsi="Calibri" w:cs="Calibri"/>
          <w:sz w:val="18"/>
          <w:szCs w:val="18"/>
        </w:rPr>
      </w:pPr>
    </w:p>
    <w:p w14:paraId="68260F51" w14:textId="77777777" w:rsidR="00D452F4" w:rsidRDefault="00D452F4">
      <w:pPr>
        <w:jc w:val="right"/>
        <w:rPr>
          <w:rFonts w:ascii="Calibri" w:hAnsi="Calibri" w:cs="Calibri"/>
          <w:sz w:val="18"/>
          <w:szCs w:val="18"/>
        </w:rPr>
      </w:pPr>
    </w:p>
    <w:p w14:paraId="3BAD2FD8" w14:textId="77777777" w:rsidR="00D452F4" w:rsidRDefault="00D452F4">
      <w:pPr>
        <w:jc w:val="right"/>
        <w:rPr>
          <w:rFonts w:ascii="Calibri" w:hAnsi="Calibri" w:cs="Calibri"/>
          <w:sz w:val="18"/>
          <w:szCs w:val="18"/>
        </w:rPr>
      </w:pPr>
    </w:p>
    <w:p w14:paraId="7A463310" w14:textId="77777777" w:rsidR="00D452F4" w:rsidRDefault="00D452F4">
      <w:pPr>
        <w:jc w:val="right"/>
        <w:rPr>
          <w:rFonts w:ascii="Calibri" w:hAnsi="Calibri" w:cs="Calibri"/>
          <w:sz w:val="18"/>
          <w:szCs w:val="18"/>
        </w:rPr>
      </w:pPr>
    </w:p>
    <w:p w14:paraId="1B467BED" w14:textId="77777777" w:rsidR="00D452F4" w:rsidRDefault="00D452F4">
      <w:pPr>
        <w:jc w:val="right"/>
        <w:rPr>
          <w:rFonts w:ascii="Calibri" w:hAnsi="Calibri" w:cs="Calibri"/>
          <w:sz w:val="18"/>
          <w:szCs w:val="18"/>
        </w:rPr>
      </w:pPr>
    </w:p>
    <w:p w14:paraId="5DAB536A" w14:textId="77777777" w:rsidR="00D452F4" w:rsidRDefault="00D452F4">
      <w:pPr>
        <w:jc w:val="right"/>
        <w:rPr>
          <w:rFonts w:ascii="Calibri" w:hAnsi="Calibri" w:cs="Calibri"/>
          <w:sz w:val="18"/>
          <w:szCs w:val="18"/>
        </w:rPr>
      </w:pPr>
    </w:p>
    <w:p w14:paraId="7419B654" w14:textId="7A0CF1F6" w:rsidR="00BA118E" w:rsidRPr="00D452F4" w:rsidRDefault="00000000">
      <w:pPr>
        <w:jc w:val="right"/>
        <w:rPr>
          <w:rFonts w:ascii="Calibri" w:hAnsi="Calibri" w:cs="Calibri"/>
          <w:sz w:val="18"/>
          <w:szCs w:val="18"/>
        </w:rPr>
      </w:pPr>
      <w:r w:rsidRPr="00D452F4">
        <w:rPr>
          <w:rFonts w:ascii="Calibri" w:hAnsi="Calibri" w:cs="Calibri"/>
          <w:sz w:val="18"/>
          <w:szCs w:val="18"/>
        </w:rPr>
        <w:t>Contatti ufficio stampa:</w:t>
      </w:r>
    </w:p>
    <w:p w14:paraId="781B9255" w14:textId="0114C416" w:rsidR="00D452F4" w:rsidRPr="00D452F4" w:rsidRDefault="00D452F4">
      <w:pPr>
        <w:jc w:val="right"/>
        <w:rPr>
          <w:rFonts w:ascii="Calibri" w:hAnsi="Calibri" w:cs="Calibri"/>
          <w:sz w:val="18"/>
          <w:szCs w:val="18"/>
        </w:rPr>
      </w:pPr>
      <w:r w:rsidRPr="00D452F4">
        <w:rPr>
          <w:rFonts w:ascii="Calibri" w:hAnsi="Calibri" w:cs="Calibri"/>
          <w:sz w:val="18"/>
          <w:szCs w:val="18"/>
        </w:rPr>
        <w:t>Esclapon &amp; Co</w:t>
      </w:r>
    </w:p>
    <w:p w14:paraId="14B32037" w14:textId="3907F950" w:rsidR="00D452F4" w:rsidRPr="00D452F4" w:rsidRDefault="00D452F4">
      <w:pPr>
        <w:jc w:val="right"/>
        <w:rPr>
          <w:rFonts w:ascii="Calibri" w:hAnsi="Calibri" w:cs="Calibri"/>
          <w:sz w:val="18"/>
          <w:szCs w:val="18"/>
        </w:rPr>
      </w:pPr>
      <w:r w:rsidRPr="00D452F4">
        <w:rPr>
          <w:rFonts w:ascii="Calibri" w:hAnsi="Calibri" w:cs="Calibri"/>
          <w:sz w:val="18"/>
          <w:szCs w:val="18"/>
        </w:rPr>
        <w:t xml:space="preserve">Alessio De Battisti – </w:t>
      </w:r>
      <w:hyperlink r:id="rId7" w:history="1">
        <w:r w:rsidRPr="00D452F4">
          <w:rPr>
            <w:rStyle w:val="Collegamentoipertestuale"/>
            <w:rFonts w:ascii="Calibri" w:hAnsi="Calibri" w:cs="Calibri"/>
            <w:sz w:val="18"/>
            <w:szCs w:val="18"/>
          </w:rPr>
          <w:t>alessio.debattisti@esclapon.it</w:t>
        </w:r>
      </w:hyperlink>
      <w:r w:rsidRPr="00D452F4">
        <w:rPr>
          <w:rFonts w:ascii="Calibri" w:hAnsi="Calibri" w:cs="Calibri"/>
          <w:sz w:val="18"/>
          <w:szCs w:val="18"/>
        </w:rPr>
        <w:t xml:space="preserve"> 3777066400</w:t>
      </w:r>
    </w:p>
    <w:sectPr w:rsidR="00D452F4" w:rsidRPr="00D452F4">
      <w:footerReference w:type="default" r:id="rId8"/>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7949" w14:textId="77777777" w:rsidR="008424ED" w:rsidRDefault="008424ED">
      <w:pPr>
        <w:spacing w:line="240" w:lineRule="auto"/>
      </w:pPr>
      <w:r>
        <w:separator/>
      </w:r>
    </w:p>
  </w:endnote>
  <w:endnote w:type="continuationSeparator" w:id="0">
    <w:p w14:paraId="1654A744" w14:textId="77777777" w:rsidR="008424ED" w:rsidRDefault="00842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Neue">
    <w:charset w:val="00"/>
    <w:family w:val="auto"/>
    <w:pitch w:val="default"/>
  </w:font>
  <w:font w:name="Arial Unicode MS">
    <w:panose1 w:val="020B0604020202020204"/>
    <w:charset w:val="86"/>
    <w:family w:val="roman"/>
    <w:pitch w:val="default"/>
    <w:sig w:usb0="00000000" w:usb1="00000000" w:usb2="00000000" w:usb3="00000000" w:csb0="003E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206479"/>
      <w:docPartObj>
        <w:docPartGallery w:val="AutoText"/>
      </w:docPartObj>
    </w:sdtPr>
    <w:sdtContent>
      <w:sdt>
        <w:sdtPr>
          <w:id w:val="-1769616900"/>
          <w:docPartObj>
            <w:docPartGallery w:val="AutoText"/>
          </w:docPartObj>
        </w:sdtPr>
        <w:sdtContent>
          <w:p w14:paraId="3B973CB2" w14:textId="77777777" w:rsidR="00BA118E" w:rsidRDefault="00000000">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4005B45" w14:textId="77777777" w:rsidR="00BA118E" w:rsidRDefault="00BA11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2873" w14:textId="77777777" w:rsidR="008424ED" w:rsidRDefault="008424ED">
      <w:pPr>
        <w:spacing w:after="0"/>
      </w:pPr>
      <w:r>
        <w:separator/>
      </w:r>
    </w:p>
  </w:footnote>
  <w:footnote w:type="continuationSeparator" w:id="0">
    <w:p w14:paraId="4DCDF920" w14:textId="77777777" w:rsidR="008424ED" w:rsidRDefault="008424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06DB8"/>
    <w:multiLevelType w:val="multilevel"/>
    <w:tmpl w:val="1F106D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5704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F7"/>
    <w:rsid w:val="FFFD82DE"/>
    <w:rsid w:val="000249B4"/>
    <w:rsid w:val="00034A4E"/>
    <w:rsid w:val="000A06AF"/>
    <w:rsid w:val="000C5ACD"/>
    <w:rsid w:val="000C5C2D"/>
    <w:rsid w:val="000D707D"/>
    <w:rsid w:val="000D7846"/>
    <w:rsid w:val="0013566B"/>
    <w:rsid w:val="00173E5C"/>
    <w:rsid w:val="00190D52"/>
    <w:rsid w:val="001A7010"/>
    <w:rsid w:val="001B03E5"/>
    <w:rsid w:val="001F67CC"/>
    <w:rsid w:val="001F7838"/>
    <w:rsid w:val="00226FB9"/>
    <w:rsid w:val="00260B96"/>
    <w:rsid w:val="00263466"/>
    <w:rsid w:val="00285534"/>
    <w:rsid w:val="002B69D1"/>
    <w:rsid w:val="002E69F7"/>
    <w:rsid w:val="003210DF"/>
    <w:rsid w:val="00391A24"/>
    <w:rsid w:val="003C0693"/>
    <w:rsid w:val="003D7136"/>
    <w:rsid w:val="004125CA"/>
    <w:rsid w:val="0043091A"/>
    <w:rsid w:val="004859F6"/>
    <w:rsid w:val="004E5F71"/>
    <w:rsid w:val="00505DA1"/>
    <w:rsid w:val="005117CB"/>
    <w:rsid w:val="00512E0D"/>
    <w:rsid w:val="00542BDB"/>
    <w:rsid w:val="0055390F"/>
    <w:rsid w:val="005B336A"/>
    <w:rsid w:val="005C5580"/>
    <w:rsid w:val="005E6034"/>
    <w:rsid w:val="005F6B1B"/>
    <w:rsid w:val="00600563"/>
    <w:rsid w:val="0060585E"/>
    <w:rsid w:val="006224B9"/>
    <w:rsid w:val="00714BC2"/>
    <w:rsid w:val="007319F4"/>
    <w:rsid w:val="00736D45"/>
    <w:rsid w:val="007535E9"/>
    <w:rsid w:val="00780990"/>
    <w:rsid w:val="007B68B4"/>
    <w:rsid w:val="007D3C60"/>
    <w:rsid w:val="00804481"/>
    <w:rsid w:val="0081529E"/>
    <w:rsid w:val="008424ED"/>
    <w:rsid w:val="00847859"/>
    <w:rsid w:val="00857630"/>
    <w:rsid w:val="008620A8"/>
    <w:rsid w:val="00883F15"/>
    <w:rsid w:val="00896C7E"/>
    <w:rsid w:val="008A6B24"/>
    <w:rsid w:val="008C1137"/>
    <w:rsid w:val="008E2AB7"/>
    <w:rsid w:val="00917537"/>
    <w:rsid w:val="009A00E2"/>
    <w:rsid w:val="00A15EBB"/>
    <w:rsid w:val="00A22686"/>
    <w:rsid w:val="00A36A1C"/>
    <w:rsid w:val="00A47A96"/>
    <w:rsid w:val="00A570C7"/>
    <w:rsid w:val="00A63FBC"/>
    <w:rsid w:val="00AC1014"/>
    <w:rsid w:val="00AC572B"/>
    <w:rsid w:val="00AE6BED"/>
    <w:rsid w:val="00B008DC"/>
    <w:rsid w:val="00B33646"/>
    <w:rsid w:val="00BA118E"/>
    <w:rsid w:val="00BE5E52"/>
    <w:rsid w:val="00BF5C4D"/>
    <w:rsid w:val="00C65AF5"/>
    <w:rsid w:val="00C840A6"/>
    <w:rsid w:val="00C91FAA"/>
    <w:rsid w:val="00CB4AE2"/>
    <w:rsid w:val="00CC2BEA"/>
    <w:rsid w:val="00D35C68"/>
    <w:rsid w:val="00D42455"/>
    <w:rsid w:val="00D452F4"/>
    <w:rsid w:val="00D5398C"/>
    <w:rsid w:val="00D609FC"/>
    <w:rsid w:val="00DD2BA9"/>
    <w:rsid w:val="00DE3947"/>
    <w:rsid w:val="00E062CF"/>
    <w:rsid w:val="00E43E79"/>
    <w:rsid w:val="00E649F8"/>
    <w:rsid w:val="00E8175D"/>
    <w:rsid w:val="00EB11E2"/>
    <w:rsid w:val="00ED2F2C"/>
    <w:rsid w:val="00EF075B"/>
    <w:rsid w:val="00F03DE0"/>
    <w:rsid w:val="00F16423"/>
    <w:rsid w:val="00F16901"/>
    <w:rsid w:val="00F533EB"/>
    <w:rsid w:val="00F552AA"/>
    <w:rsid w:val="00F649D7"/>
    <w:rsid w:val="00FA6829"/>
    <w:rsid w:val="00FC3118"/>
    <w:rsid w:val="7DFA31B0"/>
    <w:rsid w:val="7EBE3E7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FF2F"/>
  <w15:docId w15:val="{E582D5D9-BE4D-444F-A455-CACE0EE0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14:ligatures w14:val="standardContextual"/>
    </w:rPr>
  </w:style>
  <w:style w:type="paragraph" w:styleId="Titolo1">
    <w:name w:val="heading 1"/>
    <w:basedOn w:val="Normale"/>
    <w:next w:val="Normale"/>
    <w:link w:val="Titolo1Carattere"/>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olo9">
    <w:name w:val="heading 9"/>
    <w:basedOn w:val="Normale"/>
    <w:next w:val="Normale"/>
    <w:link w:val="Titolo9Carattere"/>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paragraph" w:styleId="NormaleWeb">
    <w:name w:val="Normal (Web)"/>
    <w:basedOn w:val="Normale"/>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Pr>
      <w:b/>
      <w:bCs/>
    </w:rPr>
  </w:style>
  <w:style w:type="paragraph" w:styleId="Sottotitolo">
    <w:name w:val="Subtitle"/>
    <w:basedOn w:val="Normale"/>
    <w:next w:val="Normale"/>
    <w:link w:val="SottotitoloCarattere"/>
    <w:uiPriority w:val="11"/>
    <w:qFormat/>
    <w:rPr>
      <w:rFonts w:eastAsiaTheme="majorEastAsia" w:cstheme="majorBidi"/>
      <w:color w:val="595959" w:themeColor="text1" w:themeTint="A6"/>
      <w:spacing w:val="15"/>
      <w:sz w:val="28"/>
      <w:szCs w:val="28"/>
    </w:rPr>
  </w:style>
  <w:style w:type="paragraph" w:styleId="Titolo">
    <w:name w:val="Title"/>
    <w:basedOn w:val="Normale"/>
    <w:next w:val="Normale"/>
    <w:link w:val="TitoloCaratter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Pr>
      <w:rFonts w:eastAsiaTheme="majorEastAsia" w:cstheme="majorBidi"/>
      <w:i/>
      <w:iCs/>
      <w:color w:val="262626" w:themeColor="text1" w:themeTint="D9"/>
    </w:rPr>
  </w:style>
  <w:style w:type="character" w:customStyle="1" w:styleId="Titolo9Carattere">
    <w:name w:val="Titolo 9 Carattere"/>
    <w:basedOn w:val="Carpredefinitoparagrafo"/>
    <w:link w:val="Titolo9"/>
    <w:uiPriority w:val="9"/>
    <w:semiHidden/>
    <w:rPr>
      <w:rFonts w:eastAsiaTheme="majorEastAsia" w:cstheme="majorBidi"/>
      <w:color w:val="262626" w:themeColor="text1" w:themeTint="D9"/>
    </w:rPr>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link w:val="Sottotitolo"/>
    <w:uiPriority w:val="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paragraph" w:styleId="Paragrafoelenco">
    <w:name w:val="List Paragraph"/>
    <w:basedOn w:val="Normale"/>
    <w:uiPriority w:val="34"/>
    <w:qFormat/>
    <w:pPr>
      <w:ind w:left="720"/>
      <w:contextualSpacing/>
    </w:pPr>
  </w:style>
  <w:style w:type="character" w:customStyle="1" w:styleId="Enfasiintensa1">
    <w:name w:val="Enfasi intensa1"/>
    <w:basedOn w:val="Carpredefinitoparagrafo"/>
    <w:uiPriority w:val="21"/>
    <w:qFormat/>
    <w:rPr>
      <w:i/>
      <w:iCs/>
      <w:color w:val="0F4761" w:themeColor="accent1" w:themeShade="BF"/>
    </w:rPr>
  </w:style>
  <w:style w:type="paragraph" w:styleId="Citazioneintensa">
    <w:name w:val="Intense Quote"/>
    <w:basedOn w:val="Normale"/>
    <w:next w:val="Normale"/>
    <w:link w:val="CitazioneintensaCaratter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Pr>
      <w:i/>
      <w:iCs/>
      <w:color w:val="0F4761" w:themeColor="accent1" w:themeShade="BF"/>
    </w:rPr>
  </w:style>
  <w:style w:type="character" w:customStyle="1" w:styleId="Riferimentointenso1">
    <w:name w:val="Riferimento intenso1"/>
    <w:basedOn w:val="Carpredefinitoparagrafo"/>
    <w:uiPriority w:val="32"/>
    <w:qFormat/>
    <w:rPr>
      <w:b/>
      <w:bCs/>
      <w:smallCaps/>
      <w:color w:val="0F4761" w:themeColor="accent1" w:themeShade="BF"/>
      <w:spacing w:val="5"/>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paragraph" w:customStyle="1" w:styleId="Corpo">
    <w:name w:val="Corpo"/>
    <w:rPr>
      <w:rFonts w:ascii="Helvetica Neue" w:eastAsia="Arial Unicode MS" w:hAnsi="Helvetica Neue" w:cs="Arial Unicode MS"/>
      <w:color w:val="000000"/>
      <w:sz w:val="22"/>
      <w:szCs w:val="22"/>
    </w:rPr>
  </w:style>
  <w:style w:type="paragraph" w:styleId="Revisione">
    <w:name w:val="Revision"/>
    <w:hidden/>
    <w:uiPriority w:val="99"/>
    <w:semiHidden/>
    <w:rsid w:val="00D452F4"/>
    <w:rPr>
      <w:kern w:val="2"/>
      <w:sz w:val="22"/>
      <w:szCs w:val="22"/>
      <w:lang w:eastAsia="en-US"/>
      <w14:ligatures w14:val="standardContextual"/>
    </w:rPr>
  </w:style>
  <w:style w:type="character" w:styleId="Collegamentoipertestuale">
    <w:name w:val="Hyperlink"/>
    <w:basedOn w:val="Carpredefinitoparagrafo"/>
    <w:uiPriority w:val="99"/>
    <w:unhideWhenUsed/>
    <w:rsid w:val="00D452F4"/>
    <w:rPr>
      <w:color w:val="467886" w:themeColor="hyperlink"/>
      <w:u w:val="single"/>
    </w:rPr>
  </w:style>
  <w:style w:type="character" w:styleId="Menzionenonrisolta">
    <w:name w:val="Unresolved Mention"/>
    <w:basedOn w:val="Carpredefinitoparagrafo"/>
    <w:uiPriority w:val="99"/>
    <w:semiHidden/>
    <w:unhideWhenUsed/>
    <w:rsid w:val="00D4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ssio.debattisti@esclapo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1170</Words>
  <Characters>6675</Characters>
  <Application>Microsoft Office Word</Application>
  <DocSecurity>0</DocSecurity>
  <Lines>55</Lines>
  <Paragraphs>15</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Cantagallo</dc:creator>
  <cp:lastModifiedBy>Alessio De Battisti</cp:lastModifiedBy>
  <cp:revision>101</cp:revision>
  <dcterms:created xsi:type="dcterms:W3CDTF">2025-11-14T09:47:00Z</dcterms:created>
  <dcterms:modified xsi:type="dcterms:W3CDTF">2025-11-17T13:16:00Z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ies>
</file>